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FA" w:rsidRDefault="00CC71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501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8199"/>
        <w:gridCol w:w="4941"/>
      </w:tblGrid>
      <w:tr w:rsidR="00CC71FA">
        <w:trPr>
          <w:trHeight w:val="560"/>
        </w:trPr>
        <w:tc>
          <w:tcPr>
            <w:tcW w:w="671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8199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941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CHI TIẾT</w:t>
            </w:r>
          </w:p>
        </w:tc>
      </w:tr>
      <w:tr w:rsidR="00CC71FA">
        <w:trPr>
          <w:trHeight w:val="260"/>
        </w:trPr>
        <w:tc>
          <w:tcPr>
            <w:tcW w:w="671" w:type="dxa"/>
            <w:vMerge w:val="restart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CHÍNH TRỊ - TƯ TƯỞNG</w:t>
            </w:r>
          </w:p>
        </w:tc>
        <w:tc>
          <w:tcPr>
            <w:tcW w:w="8199" w:type="dxa"/>
            <w:vAlign w:val="center"/>
          </w:tcPr>
          <w:p w:rsidR="00CC71FA" w:rsidRDefault="00EE5E4E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</w:rPr>
              <w:t xml:space="preserve">SH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nón</w:t>
            </w:r>
            <w:proofErr w:type="spellEnd"/>
            <w:r>
              <w:rPr>
                <w:color w:val="000000"/>
              </w:rPr>
              <w:t xml:space="preserve"> BH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Chuyến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thương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đổng</w:t>
            </w:r>
            <w:proofErr w:type="spellEnd"/>
            <w:r>
              <w:rPr>
                <w:color w:val="000000"/>
              </w:rPr>
              <w:t xml:space="preserve">, TLTN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BT.CĐGV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</w:p>
        </w:tc>
        <w:tc>
          <w:tcPr>
            <w:tcW w:w="4941" w:type="dxa"/>
            <w:vAlign w:val="center"/>
          </w:tcPr>
          <w:p w:rsidR="00CC71FA" w:rsidRDefault="00EE5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HĐSP</w:t>
            </w:r>
          </w:p>
        </w:tc>
      </w:tr>
      <w:tr w:rsidR="00E20918">
        <w:trPr>
          <w:trHeight w:val="260"/>
        </w:trPr>
        <w:tc>
          <w:tcPr>
            <w:tcW w:w="671" w:type="dxa"/>
            <w:vMerge/>
            <w:vAlign w:val="center"/>
          </w:tcPr>
          <w:p w:rsidR="00E20918" w:rsidRDefault="00E20918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20918" w:rsidRDefault="00E20918">
            <w:pPr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E20918" w:rsidRDefault="00EE5E4E" w:rsidP="00EE5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HĐSP </w:t>
            </w:r>
          </w:p>
        </w:tc>
        <w:tc>
          <w:tcPr>
            <w:tcW w:w="4941" w:type="dxa"/>
            <w:vAlign w:val="center"/>
          </w:tcPr>
          <w:p w:rsidR="00E20918" w:rsidRDefault="00EE5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</w:p>
        </w:tc>
      </w:tr>
      <w:tr w:rsidR="008A4017">
        <w:trPr>
          <w:trHeight w:val="260"/>
        </w:trPr>
        <w:tc>
          <w:tcPr>
            <w:tcW w:w="671" w:type="dxa"/>
            <w:vMerge/>
            <w:vAlign w:val="center"/>
          </w:tcPr>
          <w:p w:rsidR="008A4017" w:rsidRDefault="008A4017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8A4017" w:rsidRDefault="008A4017">
            <w:pPr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8A4017" w:rsidRDefault="008A4017" w:rsidP="00EE5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DS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Tết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C. </w:t>
            </w:r>
            <w:proofErr w:type="spellStart"/>
            <w:r>
              <w:rPr>
                <w:color w:val="000000"/>
              </w:rPr>
              <w:t>Tuyền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trưởng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41" w:type="dxa"/>
            <w:vAlign w:val="center"/>
          </w:tcPr>
          <w:p w:rsidR="008A4017" w:rsidRPr="008A4017" w:rsidRDefault="008A4017" w:rsidP="008A40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16h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13.12.2019</w:t>
            </w:r>
          </w:p>
        </w:tc>
      </w:tr>
      <w:tr w:rsidR="00AB6B3C" w:rsidTr="00AB6B3C">
        <w:trPr>
          <w:trHeight w:val="305"/>
        </w:trPr>
        <w:tc>
          <w:tcPr>
            <w:tcW w:w="671" w:type="dxa"/>
            <w:vMerge/>
            <w:vAlign w:val="center"/>
          </w:tcPr>
          <w:p w:rsidR="00AB6B3C" w:rsidRDefault="00AB6B3C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AB6B3C" w:rsidRDefault="00AB6B3C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AB6B3C" w:rsidRDefault="00EE5E4E" w:rsidP="00FF4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HK1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11/12/2019</w:t>
            </w:r>
          </w:p>
        </w:tc>
        <w:tc>
          <w:tcPr>
            <w:tcW w:w="4941" w:type="dxa"/>
            <w:vAlign w:val="center"/>
          </w:tcPr>
          <w:p w:rsidR="00C90696" w:rsidRPr="00C90696" w:rsidRDefault="00EE5E4E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Theo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90696" w:rsidTr="00AB6B3C">
        <w:trPr>
          <w:trHeight w:val="305"/>
        </w:trPr>
        <w:tc>
          <w:tcPr>
            <w:tcW w:w="671" w:type="dxa"/>
            <w:vMerge/>
            <w:vAlign w:val="center"/>
          </w:tcPr>
          <w:p w:rsidR="00C90696" w:rsidRDefault="00C90696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Default="00EE5E4E" w:rsidP="00F40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rPr>
                <w:color w:val="000000"/>
              </w:rPr>
            </w:pPr>
            <w:r>
              <w:rPr>
                <w:color w:val="000000"/>
              </w:rPr>
              <w:t xml:space="preserve">GV </w:t>
            </w:r>
            <w:proofErr w:type="spellStart"/>
            <w:r>
              <w:rPr>
                <w:color w:val="000000"/>
              </w:rPr>
              <w:t>gác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</w:p>
        </w:tc>
        <w:tc>
          <w:tcPr>
            <w:tcW w:w="4941" w:type="dxa"/>
            <w:vAlign w:val="center"/>
          </w:tcPr>
          <w:p w:rsidR="00C90696" w:rsidRPr="00C90696" w:rsidRDefault="00C90696" w:rsidP="00514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</w:p>
        </w:tc>
      </w:tr>
      <w:tr w:rsidR="00C90696">
        <w:trPr>
          <w:trHeight w:val="400"/>
        </w:trPr>
        <w:tc>
          <w:tcPr>
            <w:tcW w:w="671" w:type="dxa"/>
            <w:vMerge w:val="restart"/>
            <w:vAlign w:val="center"/>
          </w:tcPr>
          <w:p w:rsidR="00C90696" w:rsidRDefault="00F40C92" w:rsidP="00AD1F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C90696" w:rsidRDefault="00C90696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C90696" w:rsidRDefault="00C90696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8199" w:type="dxa"/>
            <w:vAlign w:val="center"/>
          </w:tcPr>
          <w:p w:rsidR="00C90696" w:rsidRDefault="00C90696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nữa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GVCN + GV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cấm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  <w:lang w:val="vi-VN"/>
              </w:rPr>
              <w:t xml:space="preserve">,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trèo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ghế</w:t>
            </w:r>
            <w:proofErr w:type="spellEnd"/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T.Sang</w:t>
            </w:r>
            <w:proofErr w:type="spellEnd"/>
            <w:r>
              <w:rPr>
                <w:color w:val="000000"/>
              </w:rPr>
              <w:t xml:space="preserve"> + GVCN</w:t>
            </w:r>
          </w:p>
        </w:tc>
      </w:tr>
      <w:tr w:rsidR="00C90696">
        <w:trPr>
          <w:trHeight w:val="480"/>
        </w:trPr>
        <w:tc>
          <w:tcPr>
            <w:tcW w:w="671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 xml:space="preserve">T. Sang +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</w:p>
        </w:tc>
      </w:tr>
      <w:tr w:rsidR="00C90696">
        <w:trPr>
          <w:trHeight w:val="480"/>
        </w:trPr>
        <w:tc>
          <w:tcPr>
            <w:tcW w:w="671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Default="00C90696" w:rsidP="00490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>Tiếp tục m</w:t>
            </w:r>
            <w:proofErr w:type="spellStart"/>
            <w:r>
              <w:rPr>
                <w:color w:val="000000"/>
              </w:rPr>
              <w:t>ời</w:t>
            </w:r>
            <w:proofErr w:type="spellEnd"/>
            <w:r>
              <w:rPr>
                <w:color w:val="000000"/>
              </w:rPr>
              <w:t xml:space="preserve"> PHHS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vi </w:t>
            </w: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 w:rsidR="004904E0">
              <w:rPr>
                <w:color w:val="000000"/>
              </w:rPr>
              <w:t xml:space="preserve">+ </w:t>
            </w:r>
            <w:proofErr w:type="spellStart"/>
            <w:r w:rsidR="004904E0">
              <w:rPr>
                <w:color w:val="000000"/>
              </w:rPr>
              <w:t>mất</w:t>
            </w:r>
            <w:proofErr w:type="spellEnd"/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trật</w:t>
            </w:r>
            <w:proofErr w:type="spellEnd"/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tự</w:t>
            </w:r>
            <w:proofErr w:type="spellEnd"/>
            <w:r w:rsidR="004904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vắng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thống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 xml:space="preserve">T. Sang + GVCN </w:t>
            </w:r>
          </w:p>
        </w:tc>
      </w:tr>
      <w:tr w:rsidR="00D8280A">
        <w:trPr>
          <w:trHeight w:val="480"/>
        </w:trPr>
        <w:tc>
          <w:tcPr>
            <w:tcW w:w="671" w:type="dxa"/>
            <w:vMerge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D8280A" w:rsidRDefault="00EE5E4E" w:rsidP="00CA45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HK1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dõi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41" w:type="dxa"/>
            <w:vAlign w:val="center"/>
          </w:tcPr>
          <w:p w:rsidR="00D8280A" w:rsidRDefault="00EE5E4E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>T. Sang + GVCN</w:t>
            </w:r>
          </w:p>
        </w:tc>
      </w:tr>
      <w:tr w:rsidR="008A4017">
        <w:trPr>
          <w:trHeight w:val="260"/>
        </w:trPr>
        <w:tc>
          <w:tcPr>
            <w:tcW w:w="671" w:type="dxa"/>
            <w:vMerge w:val="restart"/>
            <w:vAlign w:val="center"/>
          </w:tcPr>
          <w:p w:rsidR="008A4017" w:rsidRDefault="008A4017" w:rsidP="00AD1FE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8A4017" w:rsidRDefault="008A4017" w:rsidP="00AD1FE5">
            <w:pPr>
              <w:jc w:val="center"/>
              <w:rPr>
                <w:b/>
              </w:rPr>
            </w:pPr>
            <w:r>
              <w:rPr>
                <w:b/>
              </w:rPr>
              <w:t>CHI BỘ - ĐOÀN  THỂ</w:t>
            </w:r>
          </w:p>
        </w:tc>
        <w:tc>
          <w:tcPr>
            <w:tcW w:w="8199" w:type="dxa"/>
            <w:vAlign w:val="center"/>
          </w:tcPr>
          <w:p w:rsidR="008A4017" w:rsidRDefault="008A4017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4941" w:type="dxa"/>
            <w:vAlign w:val="center"/>
          </w:tcPr>
          <w:p w:rsidR="008A4017" w:rsidRDefault="008A4017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13H30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sáu</w:t>
            </w:r>
            <w:proofErr w:type="spellEnd"/>
            <w:r>
              <w:rPr>
                <w:color w:val="000000"/>
              </w:rPr>
              <w:t xml:space="preserve"> (13.12.2019),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</w:p>
        </w:tc>
      </w:tr>
      <w:tr w:rsidR="0045058E">
        <w:trPr>
          <w:trHeight w:val="260"/>
        </w:trPr>
        <w:tc>
          <w:tcPr>
            <w:tcW w:w="671" w:type="dxa"/>
            <w:vMerge/>
            <w:vAlign w:val="center"/>
          </w:tcPr>
          <w:p w:rsidR="0045058E" w:rsidRDefault="0045058E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45058E" w:rsidRDefault="0045058E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45058E" w:rsidRDefault="0045058E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12/2019 (</w:t>
            </w:r>
            <w:r>
              <w:rPr>
                <w:color w:val="000000"/>
              </w:rPr>
              <w:t>CTCĐ</w:t>
            </w:r>
            <w:r>
              <w:t>)</w:t>
            </w:r>
          </w:p>
        </w:tc>
        <w:tc>
          <w:tcPr>
            <w:tcW w:w="4941" w:type="dxa"/>
            <w:vAlign w:val="center"/>
          </w:tcPr>
          <w:p w:rsidR="0045058E" w:rsidRDefault="0045058E" w:rsidP="0045058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</w:rPr>
            </w:pPr>
            <w:r>
              <w:rPr>
                <w:color w:val="000000"/>
              </w:rPr>
              <w:t xml:space="preserve">8h HT 2.1 </w:t>
            </w:r>
            <w:proofErr w:type="spellStart"/>
            <w:r>
              <w:rPr>
                <w:color w:val="000000"/>
              </w:rPr>
              <w:t>Sở</w:t>
            </w:r>
            <w:proofErr w:type="spellEnd"/>
            <w:r>
              <w:rPr>
                <w:color w:val="000000"/>
              </w:rPr>
              <w:t xml:space="preserve"> GD </w:t>
            </w:r>
          </w:p>
        </w:tc>
      </w:tr>
      <w:tr w:rsidR="008A4017">
        <w:trPr>
          <w:trHeight w:val="260"/>
        </w:trPr>
        <w:tc>
          <w:tcPr>
            <w:tcW w:w="671" w:type="dxa"/>
            <w:vMerge/>
            <w:vAlign w:val="center"/>
          </w:tcPr>
          <w:p w:rsidR="008A4017" w:rsidRDefault="008A4017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8A4017" w:rsidRDefault="008A4017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8A4017" w:rsidRDefault="008A4017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  <w:r>
              <w:t xml:space="preserve"> 2019</w:t>
            </w:r>
          </w:p>
        </w:tc>
        <w:tc>
          <w:tcPr>
            <w:tcW w:w="4941" w:type="dxa"/>
            <w:vAlign w:val="center"/>
          </w:tcPr>
          <w:p w:rsidR="008A4017" w:rsidRDefault="008A4017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</w:rPr>
            </w:pPr>
            <w:r>
              <w:rPr>
                <w:color w:val="000000"/>
              </w:rPr>
              <w:t xml:space="preserve"> T.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D8280A">
        <w:trPr>
          <w:trHeight w:val="480"/>
        </w:trPr>
        <w:tc>
          <w:tcPr>
            <w:tcW w:w="671" w:type="dxa"/>
            <w:vMerge w:val="restart"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EF0EC2"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D8280A" w:rsidRDefault="00D8280A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8199" w:type="dxa"/>
            <w:vAlign w:val="center"/>
          </w:tcPr>
          <w:p w:rsidR="00D8280A" w:rsidRDefault="00EE5E4E" w:rsidP="0051419C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 xml:space="preserve">GVBM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4941" w:type="dxa"/>
            <w:vAlign w:val="center"/>
          </w:tcPr>
          <w:p w:rsidR="00D8280A" w:rsidRDefault="00D8280A" w:rsidP="0051419C">
            <w:pPr>
              <w:pStyle w:val="ListParagraph"/>
              <w:numPr>
                <w:ilvl w:val="0"/>
                <w:numId w:val="1"/>
              </w:numPr>
              <w:ind w:left="130" w:hanging="130"/>
            </w:pPr>
          </w:p>
        </w:tc>
      </w:tr>
      <w:tr w:rsidR="00621FDF">
        <w:trPr>
          <w:trHeight w:val="480"/>
        </w:trPr>
        <w:tc>
          <w:tcPr>
            <w:tcW w:w="671" w:type="dxa"/>
            <w:vMerge/>
            <w:vAlign w:val="center"/>
          </w:tcPr>
          <w:p w:rsidR="00621FDF" w:rsidRPr="00EF0EC2" w:rsidRDefault="00621FDF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621FDF" w:rsidRPr="009E6936" w:rsidRDefault="00621FDF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621FDF" w:rsidRDefault="00EE5E4E" w:rsidP="00EE5E4E">
            <w:pPr>
              <w:tabs>
                <w:tab w:val="left" w:pos="45"/>
                <w:tab w:val="left" w:pos="190"/>
              </w:tabs>
            </w:pPr>
            <w:r>
              <w:t>-</w:t>
            </w:r>
            <w:r w:rsidR="002E73FC">
              <w:rPr>
                <w:color w:val="000000"/>
              </w:rPr>
              <w:t xml:space="preserve"> GV </w:t>
            </w:r>
            <w:proofErr w:type="spellStart"/>
            <w:r w:rsidR="002E73FC">
              <w:rPr>
                <w:color w:val="000000"/>
              </w:rPr>
              <w:t>gác</w:t>
            </w:r>
            <w:proofErr w:type="spellEnd"/>
            <w:r w:rsidR="002E73FC">
              <w:rPr>
                <w:color w:val="000000"/>
              </w:rPr>
              <w:t xml:space="preserve"> </w:t>
            </w:r>
            <w:proofErr w:type="spellStart"/>
            <w:r w:rsidR="002E73FC">
              <w:rPr>
                <w:color w:val="000000"/>
              </w:rPr>
              <w:t>thi</w:t>
            </w:r>
            <w:proofErr w:type="spellEnd"/>
            <w:r w:rsidR="002E73FC">
              <w:rPr>
                <w:color w:val="000000"/>
              </w:rPr>
              <w:t xml:space="preserve"> </w:t>
            </w:r>
            <w:proofErr w:type="spellStart"/>
            <w:r w:rsidR="002E73FC">
              <w:rPr>
                <w:color w:val="000000"/>
              </w:rPr>
              <w:t>theo</w:t>
            </w:r>
            <w:proofErr w:type="spellEnd"/>
            <w:r w:rsidR="002E73FC">
              <w:rPr>
                <w:color w:val="000000"/>
              </w:rPr>
              <w:t xml:space="preserve"> </w:t>
            </w:r>
            <w:proofErr w:type="spellStart"/>
            <w:r w:rsidR="002E73FC">
              <w:rPr>
                <w:color w:val="000000"/>
              </w:rPr>
              <w:t>lịch</w:t>
            </w:r>
            <w:proofErr w:type="spellEnd"/>
            <w:r w:rsidR="002E73FC">
              <w:rPr>
                <w:color w:val="000000"/>
              </w:rPr>
              <w:t xml:space="preserve"> </w:t>
            </w:r>
            <w:proofErr w:type="spellStart"/>
            <w:r w:rsidR="002E73FC">
              <w:rPr>
                <w:color w:val="000000"/>
              </w:rPr>
              <w:t>đã</w:t>
            </w:r>
            <w:proofErr w:type="spellEnd"/>
            <w:r w:rsidR="002E73FC">
              <w:rPr>
                <w:color w:val="000000"/>
              </w:rPr>
              <w:t xml:space="preserve"> </w:t>
            </w:r>
            <w:proofErr w:type="spellStart"/>
            <w:r w:rsidR="002E73FC">
              <w:rPr>
                <w:color w:val="000000"/>
              </w:rPr>
              <w:t>phân</w:t>
            </w:r>
            <w:proofErr w:type="spellEnd"/>
            <w:r w:rsidR="002E73FC">
              <w:rPr>
                <w:color w:val="000000"/>
              </w:rPr>
              <w:t xml:space="preserve"> </w:t>
            </w:r>
            <w:proofErr w:type="spellStart"/>
            <w:r w:rsidR="002E73FC">
              <w:rPr>
                <w:color w:val="000000"/>
              </w:rPr>
              <w:t>công</w:t>
            </w:r>
            <w:proofErr w:type="spellEnd"/>
          </w:p>
        </w:tc>
        <w:tc>
          <w:tcPr>
            <w:tcW w:w="4941" w:type="dxa"/>
            <w:vAlign w:val="center"/>
          </w:tcPr>
          <w:p w:rsidR="000276FA" w:rsidRDefault="000276FA" w:rsidP="000276FA">
            <w:pPr>
              <w:pStyle w:val="ListParagraph"/>
              <w:ind w:left="130"/>
            </w:pPr>
          </w:p>
        </w:tc>
      </w:tr>
      <w:tr w:rsidR="002E73FC">
        <w:trPr>
          <w:trHeight w:val="480"/>
        </w:trPr>
        <w:tc>
          <w:tcPr>
            <w:tcW w:w="671" w:type="dxa"/>
            <w:vMerge/>
            <w:vAlign w:val="center"/>
          </w:tcPr>
          <w:p w:rsidR="002E73FC" w:rsidRPr="00EF0EC2" w:rsidRDefault="002E73FC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2E73FC" w:rsidRPr="009E6936" w:rsidRDefault="002E73FC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2E73FC" w:rsidRDefault="002E73FC" w:rsidP="002E73F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1008"/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, GV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A. </w:t>
            </w:r>
            <w:proofErr w:type="spellStart"/>
            <w:r>
              <w:t>Hiếu</w:t>
            </w:r>
            <w:proofErr w:type="spellEnd"/>
            <w:r>
              <w:t xml:space="preserve"> 3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4941" w:type="dxa"/>
            <w:vAlign w:val="center"/>
          </w:tcPr>
          <w:p w:rsidR="002E73FC" w:rsidRDefault="002E73FC" w:rsidP="000276FA">
            <w:pPr>
              <w:pStyle w:val="ListParagraph"/>
              <w:ind w:left="130"/>
            </w:pPr>
          </w:p>
        </w:tc>
      </w:tr>
      <w:tr w:rsidR="00D8280A" w:rsidTr="009E6936">
        <w:trPr>
          <w:trHeight w:val="480"/>
        </w:trPr>
        <w:tc>
          <w:tcPr>
            <w:tcW w:w="671" w:type="dxa"/>
            <w:vMerge/>
            <w:vAlign w:val="center"/>
          </w:tcPr>
          <w:p w:rsidR="00D8280A" w:rsidRPr="00EF0EC2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D8280A" w:rsidRPr="009E6936" w:rsidRDefault="00D8280A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D8280A" w:rsidRPr="002E73FC" w:rsidRDefault="002E73FC" w:rsidP="002E73F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90"/>
              <w:rPr>
                <w:lang w:val="vi-VN"/>
              </w:rPr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</w:p>
        </w:tc>
        <w:tc>
          <w:tcPr>
            <w:tcW w:w="4941" w:type="dxa"/>
            <w:vAlign w:val="center"/>
          </w:tcPr>
          <w:p w:rsidR="00D8280A" w:rsidRDefault="00D8280A" w:rsidP="00F40C92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</w:p>
        </w:tc>
      </w:tr>
      <w:tr w:rsidR="006D04E4">
        <w:trPr>
          <w:trHeight w:val="200"/>
        </w:trPr>
        <w:tc>
          <w:tcPr>
            <w:tcW w:w="671" w:type="dxa"/>
            <w:vMerge w:val="restart"/>
            <w:vAlign w:val="center"/>
          </w:tcPr>
          <w:p w:rsidR="006D04E4" w:rsidRDefault="006D04E4" w:rsidP="00AD1FE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0" w:type="dxa"/>
            <w:vMerge w:val="restart"/>
            <w:vAlign w:val="center"/>
          </w:tcPr>
          <w:p w:rsidR="006D04E4" w:rsidRDefault="006D04E4" w:rsidP="00AD1FE5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8199" w:type="dxa"/>
            <w:vAlign w:val="center"/>
          </w:tcPr>
          <w:p w:rsidR="006D04E4" w:rsidRDefault="006D04E4" w:rsidP="00AD1FE5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9+ 10</w:t>
            </w:r>
            <w:r>
              <w:rPr>
                <w:color w:val="000000"/>
                <w:lang w:val="vi-VN"/>
              </w:rPr>
              <w:t>+11</w:t>
            </w:r>
            <w:r w:rsidR="002E73FC">
              <w:rPr>
                <w:color w:val="000000"/>
              </w:rPr>
              <w:t>+ 12</w:t>
            </w:r>
          </w:p>
        </w:tc>
        <w:tc>
          <w:tcPr>
            <w:tcW w:w="4941" w:type="dxa"/>
            <w:vAlign w:val="center"/>
          </w:tcPr>
          <w:p w:rsidR="006D04E4" w:rsidRDefault="006D04E4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04E4">
        <w:trPr>
          <w:trHeight w:val="200"/>
        </w:trPr>
        <w:tc>
          <w:tcPr>
            <w:tcW w:w="671" w:type="dxa"/>
            <w:vMerge/>
            <w:vAlign w:val="center"/>
          </w:tcPr>
          <w:p w:rsidR="006D04E4" w:rsidRDefault="006D04E4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6D04E4" w:rsidRDefault="006D04E4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6D04E4" w:rsidRDefault="006D04E4" w:rsidP="004904E0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Đưa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tin</w:t>
            </w:r>
            <w:r w:rsidR="004904E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dung </w:t>
            </w: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 w:rsidR="004904E0">
              <w:rPr>
                <w:color w:val="000000"/>
              </w:rPr>
              <w:t xml:space="preserve"> THI HK1 </w:t>
            </w: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HK1</w:t>
            </w:r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trên</w:t>
            </w:r>
            <w:proofErr w:type="spellEnd"/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trang</w:t>
            </w:r>
            <w:proofErr w:type="spellEnd"/>
            <w:r w:rsidR="004904E0">
              <w:rPr>
                <w:color w:val="000000"/>
              </w:rPr>
              <w:t xml:space="preserve"> web </w:t>
            </w:r>
            <w:proofErr w:type="spellStart"/>
            <w:r w:rsidR="004904E0">
              <w:rPr>
                <w:color w:val="000000"/>
              </w:rPr>
              <w:t>trường</w:t>
            </w:r>
            <w:proofErr w:type="spellEnd"/>
          </w:p>
        </w:tc>
        <w:tc>
          <w:tcPr>
            <w:tcW w:w="4941" w:type="dxa"/>
            <w:vAlign w:val="center"/>
          </w:tcPr>
          <w:p w:rsidR="006D04E4" w:rsidRDefault="004904E0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</w:rPr>
              <w:t xml:space="preserve">TTCM+ A. </w:t>
            </w:r>
            <w:proofErr w:type="spellStart"/>
            <w:r>
              <w:rPr>
                <w:color w:val="000000"/>
              </w:rPr>
              <w:t>Hiếu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904E0">
        <w:trPr>
          <w:trHeight w:val="200"/>
        </w:trPr>
        <w:tc>
          <w:tcPr>
            <w:tcW w:w="671" w:type="dxa"/>
            <w:vMerge/>
            <w:vAlign w:val="center"/>
          </w:tcPr>
          <w:p w:rsidR="004904E0" w:rsidRDefault="004904E0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904E0" w:rsidRDefault="004904E0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4904E0" w:rsidRDefault="002E73FC" w:rsidP="004904E0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8-9-10-11-12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03-2019</w:t>
            </w:r>
          </w:p>
        </w:tc>
        <w:tc>
          <w:tcPr>
            <w:tcW w:w="4941" w:type="dxa"/>
            <w:vAlign w:val="center"/>
          </w:tcPr>
          <w:p w:rsidR="004904E0" w:rsidRDefault="002E73FC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04E4">
        <w:trPr>
          <w:trHeight w:val="320"/>
        </w:trPr>
        <w:tc>
          <w:tcPr>
            <w:tcW w:w="671" w:type="dxa"/>
            <w:vAlign w:val="center"/>
          </w:tcPr>
          <w:p w:rsidR="006D04E4" w:rsidRDefault="006D04E4" w:rsidP="00AD1FE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6D04E4" w:rsidRDefault="006D04E4" w:rsidP="00AD1FE5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8199" w:type="dxa"/>
          </w:tcPr>
          <w:p w:rsidR="006D04E4" w:rsidRDefault="006D04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>.</w:t>
            </w:r>
          </w:p>
          <w:p w:rsidR="006D04E4" w:rsidRDefault="006D04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GVCN nhắc nhở học sinh nghiêm túc học tập ôn bài cho </w:t>
            </w:r>
            <w:proofErr w:type="spellStart"/>
            <w:r>
              <w:rPr>
                <w:color w:val="000000"/>
              </w:rPr>
              <w:t>kỳ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HKI</w:t>
            </w:r>
            <w:r>
              <w:rPr>
                <w:color w:val="000000"/>
                <w:lang w:val="vi-VN"/>
              </w:rPr>
              <w:t xml:space="preserve"> </w:t>
            </w:r>
          </w:p>
          <w:p w:rsidR="006D04E4" w:rsidRDefault="006D04E4" w:rsidP="00AD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720"/>
              <w:rPr>
                <w:color w:val="000000"/>
              </w:rPr>
            </w:pPr>
          </w:p>
        </w:tc>
        <w:tc>
          <w:tcPr>
            <w:tcW w:w="4941" w:type="dxa"/>
          </w:tcPr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 w:hanging="720"/>
              <w:rPr>
                <w:b/>
                <w:color w:val="000000"/>
              </w:rPr>
            </w:pP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sz w:val="21"/>
          <w:szCs w:val="21"/>
        </w:rPr>
        <w:t>HIỆU TRƯỞNG</w:t>
      </w:r>
    </w:p>
    <w:p w:rsidR="00CC71FA" w:rsidRDefault="00D517B1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</w:t>
      </w:r>
      <w:proofErr w:type="gramStart"/>
      <w:r>
        <w:rPr>
          <w:sz w:val="21"/>
          <w:szCs w:val="21"/>
        </w:rPr>
        <w:t>,TTr</w:t>
      </w:r>
      <w:proofErr w:type="spellEnd"/>
      <w:proofErr w:type="gramEnd"/>
      <w:r>
        <w:rPr>
          <w:sz w:val="21"/>
          <w:szCs w:val="21"/>
        </w:rPr>
        <w:t xml:space="preserve"> 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</w:p>
    <w:p w:rsidR="00CC71FA" w:rsidRDefault="00D517B1" w:rsidP="00A85F32">
      <w:pPr>
        <w:ind w:left="7920" w:firstLine="720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Nguyễn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Thị</w:t>
      </w:r>
      <w:proofErr w:type="spellEnd"/>
      <w:r>
        <w:rPr>
          <w:b/>
          <w:sz w:val="21"/>
          <w:szCs w:val="21"/>
        </w:rPr>
        <w:t xml:space="preserve"> Minh </w:t>
      </w:r>
      <w:proofErr w:type="spellStart"/>
      <w:r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40" w:rsidRDefault="00294740">
      <w:r>
        <w:separator/>
      </w:r>
    </w:p>
  </w:endnote>
  <w:endnote w:type="continuationSeparator" w:id="0">
    <w:p w:rsidR="00294740" w:rsidRDefault="0029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F6" w:rsidRDefault="00E17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F6" w:rsidRDefault="00E17B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F6" w:rsidRDefault="00E1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40" w:rsidRDefault="00294740">
      <w:r>
        <w:separator/>
      </w:r>
    </w:p>
  </w:footnote>
  <w:footnote w:type="continuationSeparator" w:id="0">
    <w:p w:rsidR="00294740" w:rsidRDefault="0029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F6" w:rsidRDefault="00E17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FA" w:rsidRDefault="00D517B1">
    <w:pPr>
      <w:tabs>
        <w:tab w:val="left" w:pos="2640"/>
        <w:tab w:val="center" w:pos="9667"/>
      </w:tabs>
      <w:spacing w:line="360" w:lineRule="auto"/>
      <w:jc w:val="center"/>
    </w:pPr>
    <w:r>
      <w:rPr>
        <w:b/>
        <w:noProof/>
      </w:rPr>
      <mc:AlternateContent>
        <mc:Choice Requires="wps">
          <w:drawing>
            <wp:inline distT="0" distB="0" distL="0" distR="0" wp14:anchorId="355D4B30" wp14:editId="571A32E6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: 1</w:t>
                          </w:r>
                          <w:r w:rsidR="00542C90">
                            <w:rPr>
                              <w:color w:val="000000"/>
                            </w:rPr>
                            <w:t>6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>: 1</w:t>
                    </w:r>
                    <w:r w:rsidR="00542C90">
                      <w:rPr>
                        <w:color w:val="000000"/>
                      </w:rPr>
                      <w:t>6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b/>
      </w:rPr>
      <w:t xml:space="preserve">              </w:t>
    </w:r>
    <w:r w:rsidR="00542C90">
      <w:rPr>
        <w:b/>
      </w:rPr>
      <w:t xml:space="preserve">                KẾ HOẠCH TUẦN </w:t>
    </w:r>
    <w:proofErr w:type="gramStart"/>
    <w:r w:rsidR="00542C90">
      <w:rPr>
        <w:b/>
      </w:rPr>
      <w:t>16  (</w:t>
    </w:r>
    <w:proofErr w:type="spellStart"/>
    <w:proofErr w:type="gramEnd"/>
    <w:r w:rsidR="00542C90">
      <w:rPr>
        <w:b/>
      </w:rPr>
      <w:t>Ngày</w:t>
    </w:r>
    <w:proofErr w:type="spellEnd"/>
    <w:r w:rsidR="00542C90">
      <w:rPr>
        <w:b/>
      </w:rPr>
      <w:t xml:space="preserve"> 2/12</w:t>
    </w:r>
    <w:r w:rsidR="00C90696">
      <w:rPr>
        <w:b/>
      </w:rPr>
      <w:t xml:space="preserve">/2019 – </w:t>
    </w:r>
    <w:r w:rsidR="00542C90">
      <w:rPr>
        <w:b/>
      </w:rPr>
      <w:t>7/12</w:t>
    </w:r>
    <w:r>
      <w:rPr>
        <w:b/>
      </w:rPr>
      <w:t>/2019</w:t>
    </w:r>
    <w:r>
      <w:t>)</w:t>
    </w:r>
  </w:p>
  <w:p w:rsidR="00CC71FA" w:rsidRDefault="00D517B1">
    <w:pPr>
      <w:tabs>
        <w:tab w:val="left" w:pos="1620"/>
        <w:tab w:val="center" w:pos="6980"/>
      </w:tabs>
      <w:rPr>
        <w:b/>
        <w:i/>
      </w:rPr>
    </w:pPr>
    <w:r>
      <w:rPr>
        <w:b/>
      </w:rPr>
      <w:tab/>
    </w:r>
    <w:r>
      <w:rPr>
        <w:b/>
      </w:rPr>
      <w:tab/>
    </w:r>
    <w:proofErr w:type="spellStart"/>
    <w:r>
      <w:rPr>
        <w:b/>
      </w:rPr>
      <w:t>Tiêu</w:t>
    </w:r>
    <w:proofErr w:type="spellEnd"/>
    <w:r>
      <w:rPr>
        <w:b/>
      </w:rPr>
      <w:t xml:space="preserve"> </w:t>
    </w:r>
    <w:proofErr w:type="spellStart"/>
    <w:r>
      <w:rPr>
        <w:b/>
      </w:rPr>
      <w:t>đề</w:t>
    </w:r>
    <w:proofErr w:type="spellEnd"/>
    <w:r>
      <w:rPr>
        <w:b/>
      </w:rPr>
      <w:t xml:space="preserve">: </w:t>
    </w:r>
    <w:r>
      <w:rPr>
        <w:b/>
        <w:color w:val="FF0000"/>
      </w:rPr>
      <w:t>“</w:t>
    </w:r>
    <w:proofErr w:type="spellStart"/>
    <w:r>
      <w:rPr>
        <w:b/>
        <w:i/>
        <w:color w:val="FF0000"/>
      </w:rPr>
      <w:t>Thanh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niên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với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sự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nghiệp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xây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dựng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và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bảo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vệ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Tổ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quốc</w:t>
    </w:r>
    <w:proofErr w:type="spellEnd"/>
    <w:r>
      <w:rPr>
        <w:b/>
        <w:i/>
        <w:color w:val="FF0000"/>
      </w:rPr>
      <w:t>”</w:t>
    </w:r>
  </w:p>
  <w:p w:rsidR="00CC71FA" w:rsidRDefault="00CC71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F6" w:rsidRDefault="00E17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6FA"/>
    <w:rsid w:val="0009552D"/>
    <w:rsid w:val="000E5E6C"/>
    <w:rsid w:val="0012151D"/>
    <w:rsid w:val="0015731C"/>
    <w:rsid w:val="001F0A77"/>
    <w:rsid w:val="00265952"/>
    <w:rsid w:val="00284B9C"/>
    <w:rsid w:val="00294740"/>
    <w:rsid w:val="002E73FC"/>
    <w:rsid w:val="0030076B"/>
    <w:rsid w:val="0030519D"/>
    <w:rsid w:val="00324399"/>
    <w:rsid w:val="00337FB5"/>
    <w:rsid w:val="003B5106"/>
    <w:rsid w:val="00427A68"/>
    <w:rsid w:val="0045058E"/>
    <w:rsid w:val="00453F53"/>
    <w:rsid w:val="004904E0"/>
    <w:rsid w:val="004974D0"/>
    <w:rsid w:val="004A5620"/>
    <w:rsid w:val="004A6853"/>
    <w:rsid w:val="004B26BC"/>
    <w:rsid w:val="004E2022"/>
    <w:rsid w:val="00542C90"/>
    <w:rsid w:val="005724DB"/>
    <w:rsid w:val="00591DC0"/>
    <w:rsid w:val="00621FDF"/>
    <w:rsid w:val="00653A9F"/>
    <w:rsid w:val="006C3D4D"/>
    <w:rsid w:val="006D04E4"/>
    <w:rsid w:val="00731DF0"/>
    <w:rsid w:val="00774304"/>
    <w:rsid w:val="007A09F1"/>
    <w:rsid w:val="00803C3E"/>
    <w:rsid w:val="008A4017"/>
    <w:rsid w:val="008B1CA1"/>
    <w:rsid w:val="008C5E20"/>
    <w:rsid w:val="008D0540"/>
    <w:rsid w:val="00974694"/>
    <w:rsid w:val="009E6936"/>
    <w:rsid w:val="009F5672"/>
    <w:rsid w:val="00A85F32"/>
    <w:rsid w:val="00AB6B3C"/>
    <w:rsid w:val="00AD1FE5"/>
    <w:rsid w:val="00B676AA"/>
    <w:rsid w:val="00B80608"/>
    <w:rsid w:val="00BE0975"/>
    <w:rsid w:val="00C90696"/>
    <w:rsid w:val="00CA4539"/>
    <w:rsid w:val="00CC71FA"/>
    <w:rsid w:val="00D0343D"/>
    <w:rsid w:val="00D517B1"/>
    <w:rsid w:val="00D8280A"/>
    <w:rsid w:val="00DD1AD9"/>
    <w:rsid w:val="00E17BF6"/>
    <w:rsid w:val="00E20918"/>
    <w:rsid w:val="00EE5E4E"/>
    <w:rsid w:val="00EF0EC2"/>
    <w:rsid w:val="00F005AD"/>
    <w:rsid w:val="00F40C92"/>
    <w:rsid w:val="00F56AEB"/>
    <w:rsid w:val="00F6061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C39EC5-7E1F-4A02-B62C-7930A120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41</cp:revision>
  <cp:lastPrinted>2019-12-01T23:36:00Z</cp:lastPrinted>
  <dcterms:created xsi:type="dcterms:W3CDTF">2019-08-30T03:40:00Z</dcterms:created>
  <dcterms:modified xsi:type="dcterms:W3CDTF">2019-12-07T09:55:00Z</dcterms:modified>
</cp:coreProperties>
</file>